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84" w:rsidRPr="00F11A25" w:rsidRDefault="00B01284" w:rsidP="00FE7BF3">
      <w:pPr>
        <w:jc w:val="right"/>
      </w:pPr>
      <w:r w:rsidRPr="00F11A25">
        <w:t>Jan</w:t>
      </w:r>
      <w:r>
        <w:t>owice Wielkie, dnia 2 marca 2015</w:t>
      </w:r>
      <w:r w:rsidRPr="00F11A25">
        <w:t xml:space="preserve"> r.</w:t>
      </w:r>
    </w:p>
    <w:p w:rsidR="00B01284" w:rsidRPr="00F11A25" w:rsidRDefault="00B01284" w:rsidP="00FE7BF3">
      <w:pPr>
        <w:pStyle w:val="NoSpacing"/>
      </w:pPr>
    </w:p>
    <w:p w:rsidR="00B01284" w:rsidRPr="00F11A25" w:rsidRDefault="00B01284" w:rsidP="00FE7BF3">
      <w:pPr>
        <w:pStyle w:val="NoSpacing"/>
        <w:rPr>
          <w:b/>
          <w:bCs/>
        </w:rPr>
      </w:pPr>
      <w:r w:rsidRPr="00F11A25">
        <w:rPr>
          <w:b/>
          <w:bCs/>
        </w:rPr>
        <w:t>Gmina Janowice Wielkie</w:t>
      </w:r>
    </w:p>
    <w:p w:rsidR="00B01284" w:rsidRPr="00F11A25" w:rsidRDefault="00B01284" w:rsidP="00FE7BF3">
      <w:pPr>
        <w:pStyle w:val="NoSpacing"/>
        <w:rPr>
          <w:b/>
          <w:bCs/>
        </w:rPr>
      </w:pPr>
      <w:r w:rsidRPr="00F11A25">
        <w:rPr>
          <w:b/>
          <w:bCs/>
        </w:rPr>
        <w:t>ul. Kolejowa 2, 58-520 Janowice Wielkie</w:t>
      </w:r>
    </w:p>
    <w:p w:rsidR="00B01284" w:rsidRPr="00F11A25" w:rsidRDefault="00B01284" w:rsidP="00FE7BF3">
      <w:pPr>
        <w:pStyle w:val="NoSpacing"/>
      </w:pPr>
    </w:p>
    <w:p w:rsidR="00B01284" w:rsidRPr="00F11A25" w:rsidRDefault="00B01284" w:rsidP="00FE7BF3">
      <w:pPr>
        <w:pStyle w:val="NoSpacing"/>
      </w:pPr>
      <w:r>
        <w:t>Nr postępowania:</w:t>
      </w:r>
      <w:r w:rsidRPr="00284FBF">
        <w:rPr>
          <w:b/>
          <w:bCs/>
          <w:color w:val="000000"/>
          <w:sz w:val="20"/>
          <w:szCs w:val="20"/>
        </w:rPr>
        <w:t xml:space="preserve"> </w:t>
      </w:r>
      <w:r>
        <w:rPr>
          <w:b/>
          <w:bCs/>
          <w:sz w:val="20"/>
          <w:szCs w:val="20"/>
        </w:rPr>
        <w:t>UG.2710.OB.3.2015</w:t>
      </w:r>
    </w:p>
    <w:p w:rsidR="00B01284" w:rsidRPr="00F11A25" w:rsidRDefault="00B01284" w:rsidP="00FE7BF3">
      <w:pPr>
        <w:pStyle w:val="NoSpacing"/>
      </w:pPr>
    </w:p>
    <w:p w:rsidR="00B01284" w:rsidRPr="009D6565" w:rsidRDefault="00B01284" w:rsidP="00FE7BF3">
      <w:pPr>
        <w:pStyle w:val="NoSpacing"/>
      </w:pPr>
      <w:r w:rsidRPr="009D6565">
        <w:t xml:space="preserve">Nazwa postępowania: Prowadzenie kompleksowej obsługi bankowej budżetu </w:t>
      </w:r>
    </w:p>
    <w:p w:rsidR="00B01284" w:rsidRPr="009D6565" w:rsidRDefault="00B01284" w:rsidP="00FE7BF3">
      <w:pPr>
        <w:pStyle w:val="NoSpacing"/>
      </w:pPr>
      <w:r w:rsidRPr="009D6565">
        <w:t>gminy Janowice Wielkie i jej jednostek organizacyjnych</w:t>
      </w:r>
    </w:p>
    <w:p w:rsidR="00B01284" w:rsidRDefault="00B01284" w:rsidP="003166EE"/>
    <w:p w:rsidR="00B01284" w:rsidRPr="003166EE" w:rsidRDefault="00B01284" w:rsidP="003166EE">
      <w:pPr>
        <w:jc w:val="center"/>
        <w:rPr>
          <w:sz w:val="36"/>
          <w:szCs w:val="36"/>
        </w:rPr>
      </w:pPr>
      <w:r w:rsidRPr="003166EE">
        <w:rPr>
          <w:sz w:val="36"/>
          <w:szCs w:val="36"/>
        </w:rPr>
        <w:t>PYTANIA WYKONAWCY I ODPOWIEDZI ZAMAWIAJĄCEGO</w:t>
      </w:r>
    </w:p>
    <w:p w:rsidR="00B01284" w:rsidRDefault="00B01284" w:rsidP="00FE7BF3">
      <w:pPr>
        <w:autoSpaceDE w:val="0"/>
        <w:autoSpaceDN w:val="0"/>
        <w:adjustRightInd w:val="0"/>
        <w:jc w:val="both"/>
      </w:pPr>
      <w:r>
        <w:t>Zamawiaj</w:t>
      </w:r>
      <w:r>
        <w:rPr>
          <w:rFonts w:ascii="TimesNewRoman" w:eastAsia="TimesNewRoman"/>
        </w:rPr>
        <w:t>ą</w:t>
      </w:r>
      <w:r>
        <w:t>cy na podstawie art. 38 ust. 1-2 i 4 ustawy z dnia 29 stycznia 2004 r. Prawo zamówie</w:t>
      </w:r>
      <w:r>
        <w:rPr>
          <w:rFonts w:ascii="TimesNewRoman" w:eastAsia="TimesNewRoman"/>
        </w:rPr>
        <w:t>ń</w:t>
      </w:r>
      <w:r>
        <w:rPr>
          <w:rFonts w:ascii="TimesNewRoman" w:eastAsia="TimesNewRoman" w:cs="TimesNewRoman"/>
        </w:rPr>
        <w:t xml:space="preserve"> </w:t>
      </w:r>
      <w:r>
        <w:t xml:space="preserve">publicznych (tj. Dz. U. z 2007 r., Nr 223, poz. 1655) informuje, </w:t>
      </w:r>
      <w:r>
        <w:rPr>
          <w:rFonts w:ascii="TimesNewRoman" w:eastAsia="TimesNewRoman"/>
        </w:rPr>
        <w:t>ż</w:t>
      </w:r>
      <w:r>
        <w:t>e w post</w:t>
      </w:r>
      <w:r>
        <w:rPr>
          <w:rFonts w:ascii="TimesNewRoman" w:eastAsia="TimesNewRoman"/>
        </w:rPr>
        <w:t>ę</w:t>
      </w:r>
      <w:r>
        <w:t>powaniu wpłyn</w:t>
      </w:r>
      <w:r>
        <w:rPr>
          <w:rFonts w:ascii="TimesNewRoman" w:eastAsia="TimesNewRoman"/>
        </w:rPr>
        <w:t>ę</w:t>
      </w:r>
      <w:r>
        <w:t>ły w dniach 27.02. 2015 r. nw. pytania, na które Zamawiaj</w:t>
      </w:r>
      <w:r>
        <w:rPr>
          <w:rFonts w:ascii="TimesNewRoman" w:eastAsia="TimesNewRoman"/>
        </w:rPr>
        <w:t>ą</w:t>
      </w:r>
      <w:r>
        <w:t>cy udzielił poni</w:t>
      </w:r>
      <w:r>
        <w:rPr>
          <w:rFonts w:ascii="TimesNewRoman" w:eastAsia="TimesNewRoman"/>
        </w:rPr>
        <w:t>ż</w:t>
      </w:r>
      <w:r>
        <w:t>szych odpowiedzi:</w:t>
      </w:r>
    </w:p>
    <w:p w:rsidR="00B01284" w:rsidRPr="008D3468" w:rsidRDefault="00B01284" w:rsidP="00FE7BF3">
      <w:pPr>
        <w:autoSpaceDE w:val="0"/>
        <w:autoSpaceDN w:val="0"/>
        <w:adjustRightInd w:val="0"/>
        <w:jc w:val="both"/>
        <w:rPr>
          <w:b/>
          <w:bCs/>
          <w:u w:val="single"/>
        </w:rPr>
      </w:pPr>
      <w:r w:rsidRPr="008D3468">
        <w:rPr>
          <w:b/>
          <w:bCs/>
          <w:u w:val="single"/>
        </w:rPr>
        <w:t>Pytanie 1:</w:t>
      </w:r>
    </w:p>
    <w:p w:rsidR="00B01284" w:rsidRDefault="00B01284" w:rsidP="00FE7BF3">
      <w:pPr>
        <w:autoSpaceDE w:val="0"/>
        <w:autoSpaceDN w:val="0"/>
        <w:adjustRightInd w:val="0"/>
        <w:jc w:val="both"/>
      </w:pPr>
      <w:r>
        <w:t>„Czy zamawiający potwierdza sposób oceny ofert opisany w pkt. 12.1.2 SIWZ w zakresie wagi dla prowadzenia punktu kasowego? Zwracamy uwagę , że przy takim zapisie istnieje ryzyko nie wybrania oferty merytorycznie i cenowo najlepszej, ponieważ jedynie oferent gwarantujący spełnienie pkt. 3.1.d (który ma charakter fakultatywny), ma szanse wygrania zamówienia publicznego. Jest to już przewidywalne na  etapie składania ofert, a tym samym nie gwarantuje właściwej porównywalności ofert.”</w:t>
      </w:r>
    </w:p>
    <w:p w:rsidR="00B01284" w:rsidRPr="006C105E" w:rsidRDefault="00B01284" w:rsidP="00FE7BF3">
      <w:pPr>
        <w:autoSpaceDE w:val="0"/>
        <w:autoSpaceDN w:val="0"/>
        <w:adjustRightInd w:val="0"/>
        <w:jc w:val="both"/>
        <w:rPr>
          <w:b/>
          <w:bCs/>
          <w:u w:val="single"/>
        </w:rPr>
      </w:pPr>
      <w:r w:rsidRPr="006C105E">
        <w:rPr>
          <w:b/>
          <w:bCs/>
          <w:u w:val="single"/>
        </w:rPr>
        <w:t>Odpowiedz 1:</w:t>
      </w:r>
    </w:p>
    <w:p w:rsidR="00B01284" w:rsidRDefault="00B01284" w:rsidP="00FE7BF3">
      <w:pPr>
        <w:autoSpaceDE w:val="0"/>
        <w:autoSpaceDN w:val="0"/>
        <w:adjustRightInd w:val="0"/>
        <w:jc w:val="both"/>
      </w:pPr>
      <w:r>
        <w:t>Zamawiający przyjął powyższy sposób oceny ofert, wychodząc z założenia, że kryterium prowadzenia punktu kasowego ma bardzo duże znaczenie dla Gminy, gdyż taka usługa ma decydujące znaczenie w tym zamówieniu.</w:t>
      </w:r>
    </w:p>
    <w:p w:rsidR="00B01284" w:rsidRPr="006C105E" w:rsidRDefault="00B01284" w:rsidP="00FE7BF3">
      <w:pPr>
        <w:autoSpaceDE w:val="0"/>
        <w:autoSpaceDN w:val="0"/>
        <w:adjustRightInd w:val="0"/>
        <w:jc w:val="both"/>
        <w:rPr>
          <w:b/>
          <w:bCs/>
          <w:u w:val="single"/>
        </w:rPr>
      </w:pPr>
      <w:r w:rsidRPr="006C105E">
        <w:rPr>
          <w:b/>
          <w:bCs/>
          <w:u w:val="single"/>
        </w:rPr>
        <w:t>Pytanie 2:</w:t>
      </w:r>
    </w:p>
    <w:p w:rsidR="00B01284" w:rsidRDefault="00B01284" w:rsidP="00FE7BF3">
      <w:pPr>
        <w:autoSpaceDE w:val="0"/>
        <w:autoSpaceDN w:val="0"/>
        <w:adjustRightInd w:val="0"/>
        <w:jc w:val="both"/>
      </w:pPr>
      <w:r>
        <w:t xml:space="preserve">„Czy Zamawiający wyraża zgodę na  to, żeby  weksel in blanco, stanowiący zabezpieczenie kredytu , był opatrzony kontrasygnatą Skarbnika.” </w:t>
      </w:r>
    </w:p>
    <w:p w:rsidR="00B01284" w:rsidRPr="006C105E" w:rsidRDefault="00B01284" w:rsidP="00FE7BF3">
      <w:pPr>
        <w:autoSpaceDE w:val="0"/>
        <w:autoSpaceDN w:val="0"/>
        <w:adjustRightInd w:val="0"/>
        <w:jc w:val="both"/>
        <w:rPr>
          <w:b/>
          <w:bCs/>
          <w:u w:val="single"/>
        </w:rPr>
      </w:pPr>
      <w:r w:rsidRPr="006C105E">
        <w:rPr>
          <w:b/>
          <w:bCs/>
          <w:u w:val="single"/>
        </w:rPr>
        <w:t>Odpowiedź 2 :</w:t>
      </w:r>
    </w:p>
    <w:p w:rsidR="00B01284" w:rsidRDefault="00B01284" w:rsidP="00FE7BF3">
      <w:pPr>
        <w:autoSpaceDE w:val="0"/>
        <w:autoSpaceDN w:val="0"/>
        <w:adjustRightInd w:val="0"/>
        <w:jc w:val="both"/>
      </w:pPr>
      <w:r>
        <w:t>Tak: Zamawiający wyraża zgodę aby weksel in blanco był opatrzony kontrasygnatą Skarbnika.</w:t>
      </w:r>
    </w:p>
    <w:p w:rsidR="00B01284" w:rsidRPr="006C105E" w:rsidRDefault="00B01284" w:rsidP="00FE7BF3">
      <w:pPr>
        <w:autoSpaceDE w:val="0"/>
        <w:autoSpaceDN w:val="0"/>
        <w:adjustRightInd w:val="0"/>
        <w:jc w:val="both"/>
        <w:rPr>
          <w:b/>
          <w:bCs/>
          <w:u w:val="single"/>
        </w:rPr>
      </w:pPr>
      <w:r w:rsidRPr="006C105E">
        <w:rPr>
          <w:b/>
          <w:bCs/>
          <w:u w:val="single"/>
        </w:rPr>
        <w:t>Pytania 3:</w:t>
      </w:r>
    </w:p>
    <w:p w:rsidR="00B01284" w:rsidRDefault="00B01284" w:rsidP="00FE7BF3">
      <w:pPr>
        <w:autoSpaceDE w:val="0"/>
        <w:autoSpaceDN w:val="0"/>
        <w:adjustRightInd w:val="0"/>
        <w:jc w:val="both"/>
      </w:pPr>
      <w:r>
        <w:t xml:space="preserve">„Czy Zamawiający wyraża zgodę na to , by kredyt był uruchomiony – w razie potrzeby - na takich samych warunkach, bez konieczności badania zdolności kredytowej , po przedstawieniu pozytywnych opinii RIO , o których mowa SIWZ, w przypadku , gdy kwota kredytu nie przekroczy 300.000,00zł? W przypadku określenia kwoty kredytu powyżej 300.000,00zł , konieczne będzie zbadane zdolności kredytowej?” </w:t>
      </w:r>
    </w:p>
    <w:p w:rsidR="00B01284" w:rsidRPr="006C105E" w:rsidRDefault="00B01284" w:rsidP="00FE7BF3">
      <w:pPr>
        <w:autoSpaceDE w:val="0"/>
        <w:autoSpaceDN w:val="0"/>
        <w:adjustRightInd w:val="0"/>
        <w:jc w:val="both"/>
        <w:rPr>
          <w:b/>
          <w:bCs/>
          <w:u w:val="single"/>
        </w:rPr>
      </w:pPr>
      <w:r w:rsidRPr="006C105E">
        <w:rPr>
          <w:b/>
          <w:bCs/>
          <w:u w:val="single"/>
        </w:rPr>
        <w:t>Odpowiedź 3:</w:t>
      </w:r>
    </w:p>
    <w:p w:rsidR="00B01284" w:rsidRPr="00DF491F" w:rsidRDefault="00B01284" w:rsidP="00D32438">
      <w:pPr>
        <w:autoSpaceDE w:val="0"/>
        <w:autoSpaceDN w:val="0"/>
        <w:adjustRightInd w:val="0"/>
        <w:jc w:val="both"/>
      </w:pPr>
      <w:r>
        <w:t>Zamawiający informuje, że zgodnie z SIWZ i już udzielonymi odpowiedziami na pytania zgłoszone w procedurze niniejszej:</w:t>
      </w:r>
      <w:r w:rsidRPr="00DF491F">
        <w:t xml:space="preserve"> </w:t>
      </w:r>
      <w:r w:rsidRPr="00D32438">
        <w:rPr>
          <w:u w:val="single"/>
        </w:rPr>
        <w:t>nie wyraża zgody</w:t>
      </w:r>
      <w:r w:rsidRPr="00DF491F">
        <w:t xml:space="preserve"> na udzielenie kredytu w rachunku bieżącym w każdym następnym roku budżetowym – na takich samych warunkach, po zbadaniu każdorazowo zdolności kredytowej Zamawiającego. W tym zakresie obowiązuje zapis z punktu 3.1.c tiret szósty SIWZ: „- spłata kredytu nastąpi najpóźniej do 31 grudnia danego roku budżetowego, a w każdym następnym roku budżetowym kredyt będzie uruchamiany – w razie potrzeby – na takich samych warunkach, bez konieczności badania zdolności kredytowej po przedstawieniu pozytywnej opinii Regionalnej Izby Obrachunkowej (RIO) do projektu Uchwały Budżetowej oraz pozytywnej opinii RIO do projektu uchwały w sprawie wieloletniej prognozy finansowej.”.</w:t>
      </w:r>
    </w:p>
    <w:p w:rsidR="00B01284" w:rsidRDefault="00B01284" w:rsidP="00FE7BF3">
      <w:pPr>
        <w:autoSpaceDE w:val="0"/>
        <w:autoSpaceDN w:val="0"/>
        <w:adjustRightInd w:val="0"/>
        <w:jc w:val="both"/>
      </w:pPr>
      <w:r>
        <w:t xml:space="preserve">Z powyższego wynika, że Zamawiający oczekuje, aby kredyt był uruchamiany na takich samych warunkach jak w pierwszym roku obowiązywania umowy, bez konieczności badania zdolności kredytowej , po przedstawieniu pozytywnych opinii RIO , o których mowa SIWZ, w przypadku, gdy kwota kredytu nie przekroczy 300.000,00zł. </w:t>
      </w:r>
    </w:p>
    <w:p w:rsidR="00B01284" w:rsidRDefault="00B01284" w:rsidP="00FE7BF3">
      <w:pPr>
        <w:autoSpaceDE w:val="0"/>
        <w:autoSpaceDN w:val="0"/>
        <w:adjustRightInd w:val="0"/>
        <w:jc w:val="both"/>
      </w:pPr>
      <w:r>
        <w:t xml:space="preserve">W przypadku kredytu powyżej 300.000,00zł Zamawiający dopuszcza badanie jego zdolności kredytowej. Nadmienić należy, że na chwilę obecną nie ma podjętej uchwały Rady Gminy, która upoważniałaby Wójta do zaciągnięcia takiego zobowiązania, gdyż Zamawiający spodziewa się, iż jego potrzeby kredytowe mieścić się będą w kwocie do 300.000,00 zł. </w:t>
      </w:r>
    </w:p>
    <w:p w:rsidR="00B01284" w:rsidRDefault="00B01284" w:rsidP="00175D29">
      <w:pPr>
        <w:autoSpaceDE w:val="0"/>
        <w:autoSpaceDN w:val="0"/>
        <w:adjustRightInd w:val="0"/>
        <w:jc w:val="both"/>
        <w:rPr>
          <w:b/>
          <w:bCs/>
        </w:rPr>
      </w:pPr>
    </w:p>
    <w:p w:rsidR="00B01284" w:rsidRPr="006C105E" w:rsidRDefault="00B01284" w:rsidP="00175D29">
      <w:pPr>
        <w:autoSpaceDE w:val="0"/>
        <w:autoSpaceDN w:val="0"/>
        <w:adjustRightInd w:val="0"/>
        <w:jc w:val="both"/>
        <w:rPr>
          <w:b/>
          <w:bCs/>
        </w:rPr>
      </w:pPr>
      <w:r w:rsidRPr="006C105E">
        <w:rPr>
          <w:b/>
          <w:bCs/>
        </w:rPr>
        <w:t xml:space="preserve">Niniejsze pytania Wykonawcy i odpowiedzi zamawiającego nie zmieniają treści SIWZ oraz ogłoszenia o zamówieniu </w:t>
      </w:r>
      <w:r>
        <w:rPr>
          <w:b/>
          <w:bCs/>
        </w:rPr>
        <w:t>i nie powodują konieczności wydłużenia terminu składania ofert.</w:t>
      </w:r>
    </w:p>
    <w:p w:rsidR="00B01284" w:rsidRDefault="00B01284" w:rsidP="006C105E">
      <w:pPr>
        <w:pStyle w:val="NoSpacing"/>
        <w:ind w:left="5664" w:firstLine="708"/>
      </w:pPr>
      <w:r>
        <w:t>Wójt Gminy Janowice Wielkie</w:t>
      </w:r>
    </w:p>
    <w:p w:rsidR="00B01284" w:rsidRDefault="00B01284" w:rsidP="006C105E">
      <w:pPr>
        <w:pStyle w:val="NoSpacing"/>
        <w:ind w:left="708"/>
      </w:pPr>
      <w:r>
        <w:tab/>
      </w:r>
      <w:r>
        <w:tab/>
      </w:r>
    </w:p>
    <w:p w:rsidR="00B01284" w:rsidRDefault="00B01284" w:rsidP="006C105E">
      <w:pPr>
        <w:pStyle w:val="NoSpacing"/>
      </w:pPr>
      <w:r>
        <w:t xml:space="preserve">          </w:t>
      </w:r>
      <w:r>
        <w:tab/>
      </w:r>
      <w:r>
        <w:tab/>
      </w:r>
      <w:r>
        <w:tab/>
      </w:r>
      <w:r>
        <w:tab/>
      </w:r>
      <w:r>
        <w:tab/>
      </w:r>
      <w:r>
        <w:tab/>
      </w:r>
      <w:r>
        <w:tab/>
      </w:r>
      <w:r>
        <w:tab/>
        <w:t xml:space="preserve">             </w:t>
      </w:r>
      <w:r>
        <w:tab/>
        <w:t xml:space="preserve">         / -/ Kamil Kowalski</w:t>
      </w:r>
    </w:p>
    <w:p w:rsidR="00B01284" w:rsidRDefault="00B01284" w:rsidP="006C105E">
      <w:pPr>
        <w:autoSpaceDE w:val="0"/>
        <w:autoSpaceDN w:val="0"/>
        <w:adjustRightInd w:val="0"/>
        <w:rPr>
          <w:sz w:val="18"/>
          <w:szCs w:val="18"/>
        </w:rPr>
      </w:pPr>
    </w:p>
    <w:p w:rsidR="00B01284" w:rsidRDefault="00B01284" w:rsidP="006C105E">
      <w:pPr>
        <w:autoSpaceDE w:val="0"/>
        <w:autoSpaceDN w:val="0"/>
        <w:adjustRightInd w:val="0"/>
        <w:rPr>
          <w:sz w:val="18"/>
          <w:szCs w:val="18"/>
        </w:rPr>
      </w:pPr>
    </w:p>
    <w:p w:rsidR="00B01284" w:rsidRDefault="00B01284" w:rsidP="00175D29">
      <w:pPr>
        <w:pStyle w:val="NoSpacing"/>
      </w:pPr>
      <w:r>
        <w:t>Do przekazania:</w:t>
      </w:r>
    </w:p>
    <w:p w:rsidR="00B01284" w:rsidRDefault="00B01284" w:rsidP="00175D29">
      <w:pPr>
        <w:pStyle w:val="NoSpacing"/>
      </w:pPr>
      <w:r>
        <w:t>1. Podmiotowi składaj</w:t>
      </w:r>
      <w:r>
        <w:rPr>
          <w:rFonts w:ascii="TimesNewRoman" w:eastAsia="TimesNewRoman"/>
        </w:rPr>
        <w:t>ą</w:t>
      </w:r>
      <w:r>
        <w:t>cemu zapytanie</w:t>
      </w:r>
    </w:p>
    <w:p w:rsidR="00B01284" w:rsidRDefault="00B01284" w:rsidP="00175D29">
      <w:pPr>
        <w:pStyle w:val="NoSpacing"/>
      </w:pPr>
      <w:r>
        <w:t>2. Na stron</w:t>
      </w:r>
      <w:r>
        <w:rPr>
          <w:rFonts w:ascii="TimesNewRoman" w:eastAsia="TimesNewRoman"/>
        </w:rPr>
        <w:t>ę</w:t>
      </w:r>
      <w:r>
        <w:rPr>
          <w:rFonts w:ascii="TimesNewRoman" w:eastAsia="TimesNewRoman" w:cs="TimesNewRoman"/>
        </w:rPr>
        <w:t xml:space="preserve"> </w:t>
      </w:r>
      <w:r>
        <w:t>internetow</w:t>
      </w:r>
      <w:r>
        <w:rPr>
          <w:rFonts w:ascii="TimesNewRoman" w:eastAsia="TimesNewRoman"/>
        </w:rPr>
        <w:t>ą</w:t>
      </w:r>
      <w:r>
        <w:rPr>
          <w:rFonts w:ascii="TimesNewRoman" w:eastAsia="TimesNewRoman" w:cs="TimesNewRoman"/>
        </w:rPr>
        <w:t xml:space="preserve"> </w:t>
      </w:r>
      <w:r>
        <w:t>Zamawiaj</w:t>
      </w:r>
      <w:r>
        <w:rPr>
          <w:rFonts w:ascii="TimesNewRoman" w:eastAsia="TimesNewRoman"/>
        </w:rPr>
        <w:t>ą</w:t>
      </w:r>
      <w:r>
        <w:t>cego  (BIP)</w:t>
      </w:r>
    </w:p>
    <w:p w:rsidR="00B01284" w:rsidRDefault="00B01284" w:rsidP="00175D29">
      <w:pPr>
        <w:pStyle w:val="NoSpacing"/>
      </w:pPr>
      <w:r>
        <w:t>3. Na tablic</w:t>
      </w:r>
      <w:r>
        <w:rPr>
          <w:rFonts w:ascii="TimesNewRoman" w:eastAsia="TimesNewRoman"/>
        </w:rPr>
        <w:t>ę</w:t>
      </w:r>
      <w:r>
        <w:rPr>
          <w:rFonts w:ascii="TimesNewRoman" w:eastAsia="TimesNewRoman" w:cs="TimesNewRoman"/>
        </w:rPr>
        <w:t xml:space="preserve"> </w:t>
      </w:r>
      <w:r>
        <w:t>ogłosze</w:t>
      </w:r>
      <w:r>
        <w:rPr>
          <w:rFonts w:ascii="TimesNewRoman" w:eastAsia="TimesNewRoman"/>
        </w:rPr>
        <w:t>ń</w:t>
      </w:r>
      <w:r>
        <w:rPr>
          <w:rFonts w:ascii="TimesNewRoman" w:eastAsia="TimesNewRoman" w:cs="TimesNewRoman"/>
        </w:rPr>
        <w:t xml:space="preserve"> </w:t>
      </w:r>
      <w:r>
        <w:t>w siedzibie Zamawiaj</w:t>
      </w:r>
      <w:r>
        <w:rPr>
          <w:rFonts w:ascii="TimesNewRoman" w:eastAsia="TimesNewRoman"/>
        </w:rPr>
        <w:t>ą</w:t>
      </w:r>
      <w:r>
        <w:t>cego</w:t>
      </w:r>
    </w:p>
    <w:p w:rsidR="00B01284" w:rsidRDefault="00B01284" w:rsidP="00175D29">
      <w:pPr>
        <w:pStyle w:val="NoSpacing"/>
      </w:pPr>
      <w:r>
        <w:t>4. Na BZP (zmiana ogłoszenia)</w:t>
      </w:r>
    </w:p>
    <w:p w:rsidR="00B01284" w:rsidRDefault="00B01284" w:rsidP="00175D29">
      <w:pPr>
        <w:pStyle w:val="NoSpacing"/>
      </w:pPr>
      <w:r>
        <w:t xml:space="preserve">5. a/a </w:t>
      </w:r>
    </w:p>
    <w:p w:rsidR="00B01284" w:rsidRDefault="00B01284" w:rsidP="006C105E">
      <w:pPr>
        <w:autoSpaceDE w:val="0"/>
        <w:autoSpaceDN w:val="0"/>
        <w:adjustRightInd w:val="0"/>
        <w:rPr>
          <w:sz w:val="16"/>
          <w:szCs w:val="16"/>
        </w:rPr>
      </w:pPr>
    </w:p>
    <w:p w:rsidR="00B01284" w:rsidRDefault="00B01284" w:rsidP="00FE7BF3">
      <w:pPr>
        <w:autoSpaceDE w:val="0"/>
        <w:autoSpaceDN w:val="0"/>
        <w:adjustRightInd w:val="0"/>
        <w:jc w:val="both"/>
      </w:pPr>
    </w:p>
    <w:p w:rsidR="00B01284" w:rsidRDefault="00B01284"/>
    <w:sectPr w:rsidR="00B01284" w:rsidSect="00404BE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284" w:rsidRDefault="00B01284" w:rsidP="00606ECE">
      <w:pPr>
        <w:spacing w:after="0" w:line="240" w:lineRule="auto"/>
      </w:pPr>
      <w:r>
        <w:separator/>
      </w:r>
    </w:p>
  </w:endnote>
  <w:endnote w:type="continuationSeparator" w:id="1">
    <w:p w:rsidR="00B01284" w:rsidRDefault="00B01284" w:rsidP="00606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84" w:rsidRDefault="00B01284" w:rsidP="00DB03B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1284" w:rsidRDefault="00B01284" w:rsidP="008D34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284" w:rsidRDefault="00B01284" w:rsidP="00606ECE">
      <w:pPr>
        <w:spacing w:after="0" w:line="240" w:lineRule="auto"/>
      </w:pPr>
      <w:r>
        <w:separator/>
      </w:r>
    </w:p>
  </w:footnote>
  <w:footnote w:type="continuationSeparator" w:id="1">
    <w:p w:rsidR="00B01284" w:rsidRDefault="00B01284" w:rsidP="00606E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BF3"/>
    <w:rsid w:val="00006BCE"/>
    <w:rsid w:val="00010D89"/>
    <w:rsid w:val="00175D29"/>
    <w:rsid w:val="002535AE"/>
    <w:rsid w:val="00257F10"/>
    <w:rsid w:val="00284FBF"/>
    <w:rsid w:val="00297B4E"/>
    <w:rsid w:val="003166EE"/>
    <w:rsid w:val="003D40F5"/>
    <w:rsid w:val="00404BE4"/>
    <w:rsid w:val="004467C8"/>
    <w:rsid w:val="005A4990"/>
    <w:rsid w:val="00606ECE"/>
    <w:rsid w:val="0067057D"/>
    <w:rsid w:val="006C105E"/>
    <w:rsid w:val="008507DD"/>
    <w:rsid w:val="008542A7"/>
    <w:rsid w:val="00893AF8"/>
    <w:rsid w:val="008D3468"/>
    <w:rsid w:val="008E0DF6"/>
    <w:rsid w:val="009577BD"/>
    <w:rsid w:val="009D6565"/>
    <w:rsid w:val="00A03B98"/>
    <w:rsid w:val="00A94708"/>
    <w:rsid w:val="00AF21E3"/>
    <w:rsid w:val="00B01284"/>
    <w:rsid w:val="00B4764B"/>
    <w:rsid w:val="00B53A12"/>
    <w:rsid w:val="00B63D1A"/>
    <w:rsid w:val="00BD3A76"/>
    <w:rsid w:val="00C259DC"/>
    <w:rsid w:val="00D32438"/>
    <w:rsid w:val="00D81116"/>
    <w:rsid w:val="00DB03BB"/>
    <w:rsid w:val="00DF491F"/>
    <w:rsid w:val="00E0022F"/>
    <w:rsid w:val="00E653C8"/>
    <w:rsid w:val="00F11A25"/>
    <w:rsid w:val="00F945E3"/>
    <w:rsid w:val="00FE7BF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E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E7BF3"/>
    <w:rPr>
      <w:rFonts w:cs="Calibri"/>
    </w:rPr>
  </w:style>
  <w:style w:type="paragraph" w:styleId="EndnoteText">
    <w:name w:val="endnote text"/>
    <w:basedOn w:val="Normal"/>
    <w:link w:val="EndnoteTextChar"/>
    <w:uiPriority w:val="99"/>
    <w:semiHidden/>
    <w:rsid w:val="00606EC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06ECE"/>
    <w:rPr>
      <w:sz w:val="20"/>
      <w:szCs w:val="20"/>
    </w:rPr>
  </w:style>
  <w:style w:type="character" w:styleId="EndnoteReference">
    <w:name w:val="endnote reference"/>
    <w:basedOn w:val="DefaultParagraphFont"/>
    <w:uiPriority w:val="99"/>
    <w:semiHidden/>
    <w:rsid w:val="00606ECE"/>
    <w:rPr>
      <w:vertAlign w:val="superscript"/>
    </w:rPr>
  </w:style>
  <w:style w:type="paragraph" w:styleId="Footer">
    <w:name w:val="footer"/>
    <w:basedOn w:val="Normal"/>
    <w:link w:val="FooterChar"/>
    <w:uiPriority w:val="99"/>
    <w:rsid w:val="008D3468"/>
    <w:pPr>
      <w:tabs>
        <w:tab w:val="center" w:pos="4536"/>
        <w:tab w:val="right" w:pos="9072"/>
      </w:tabs>
    </w:pPr>
  </w:style>
  <w:style w:type="character" w:customStyle="1" w:styleId="FooterChar">
    <w:name w:val="Footer Char"/>
    <w:basedOn w:val="DefaultParagraphFont"/>
    <w:link w:val="Footer"/>
    <w:uiPriority w:val="99"/>
    <w:semiHidden/>
    <w:locked/>
  </w:style>
  <w:style w:type="character" w:styleId="PageNumber">
    <w:name w:val="page number"/>
    <w:basedOn w:val="DefaultParagraphFont"/>
    <w:uiPriority w:val="99"/>
    <w:rsid w:val="008D34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556</Words>
  <Characters>3337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Janowice Wielkie, dnia 3 marca 2015 r</dc:title>
  <dc:subject/>
  <dc:creator>xxx</dc:creator>
  <cp:keywords/>
  <dc:description/>
  <cp:lastModifiedBy>UG Janowice Wielkie</cp:lastModifiedBy>
  <cp:revision>5</cp:revision>
  <dcterms:created xsi:type="dcterms:W3CDTF">2015-03-01T12:00:00Z</dcterms:created>
  <dcterms:modified xsi:type="dcterms:W3CDTF">2015-03-01T13:02:00Z</dcterms:modified>
</cp:coreProperties>
</file>