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5A" w:rsidRDefault="006D3A5A">
      <w:pPr>
        <w:pStyle w:val="Tretekstu"/>
        <w:ind w:left="480"/>
        <w:jc w:val="left"/>
        <w:outlineLvl w:val="0"/>
        <w:rPr>
          <w:b/>
          <w:bCs/>
          <w:sz w:val="24"/>
          <w:szCs w:val="24"/>
        </w:rPr>
      </w:pPr>
    </w:p>
    <w:p w:rsidR="006D3A5A" w:rsidRDefault="006D3A5A">
      <w:pPr>
        <w:pStyle w:val="Tretekstu"/>
        <w:outlineLvl w:val="0"/>
        <w:rPr>
          <w:b/>
          <w:bCs/>
          <w:sz w:val="24"/>
          <w:szCs w:val="24"/>
        </w:rPr>
      </w:pPr>
    </w:p>
    <w:p w:rsidR="006D3A5A" w:rsidRDefault="006D3A5A">
      <w:pPr>
        <w:pStyle w:val="Tretekstu"/>
        <w:outlineLvl w:val="0"/>
        <w:rPr>
          <w:b/>
          <w:bCs/>
          <w:sz w:val="24"/>
          <w:szCs w:val="24"/>
        </w:rPr>
      </w:pPr>
    </w:p>
    <w:p w:rsidR="006D3A5A" w:rsidRDefault="006D3A5A">
      <w:pPr>
        <w:pStyle w:val="Tretekstu"/>
        <w:outlineLvl w:val="0"/>
        <w:rPr>
          <w:b/>
          <w:bCs/>
          <w:sz w:val="24"/>
          <w:szCs w:val="24"/>
        </w:rPr>
      </w:pPr>
    </w:p>
    <w:p w:rsidR="00246683" w:rsidRDefault="00642CA6" w:rsidP="00246683">
      <w:pPr>
        <w:pStyle w:val="Tretekstu"/>
        <w:ind w:left="4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  NR </w:t>
      </w:r>
      <w:r w:rsidR="00246683">
        <w:rPr>
          <w:b/>
          <w:bCs/>
          <w:sz w:val="24"/>
          <w:szCs w:val="24"/>
        </w:rPr>
        <w:t>XXVII/133/2017</w:t>
      </w:r>
    </w:p>
    <w:p w:rsidR="006D3A5A" w:rsidRDefault="00642CA6" w:rsidP="00246683">
      <w:pPr>
        <w:pStyle w:val="Tretekstu"/>
        <w:ind w:left="48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 GMINY  W  JANOWICACH  WIELKICH</w:t>
      </w:r>
    </w:p>
    <w:p w:rsidR="006D3A5A" w:rsidRDefault="00642CA6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  </w:t>
      </w:r>
      <w:r w:rsidR="00246683">
        <w:rPr>
          <w:b/>
          <w:bCs/>
          <w:sz w:val="24"/>
          <w:szCs w:val="24"/>
        </w:rPr>
        <w:t>30 marca 2017roku</w:t>
      </w:r>
    </w:p>
    <w:p w:rsidR="006D3A5A" w:rsidRDefault="006D3A5A">
      <w:pPr>
        <w:pStyle w:val="Tretekstu"/>
        <w:jc w:val="center"/>
        <w:rPr>
          <w:b/>
          <w:bCs/>
          <w:sz w:val="24"/>
          <w:szCs w:val="24"/>
        </w:rPr>
      </w:pPr>
    </w:p>
    <w:p w:rsidR="006D3A5A" w:rsidRDefault="00642CA6">
      <w:pPr>
        <w:pStyle w:val="Tretekstu"/>
      </w:pPr>
      <w:r>
        <w:rPr>
          <w:b/>
          <w:bCs/>
          <w:sz w:val="24"/>
          <w:szCs w:val="24"/>
        </w:rPr>
        <w:t>w sprawie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określenia szczegółowych warunków przyznawania i odpłatności za usługi opiekuńcze i specjalistyczne usługi opiekuńcze, z wyłączeniem specjalistycznych usług opiekuńczych dla osób z zaburzeniami psychicznymi oraz szczegółowych warunków częścioweg</w:t>
      </w:r>
      <w:r>
        <w:rPr>
          <w:b/>
          <w:bCs/>
          <w:sz w:val="24"/>
          <w:szCs w:val="24"/>
        </w:rPr>
        <w:t xml:space="preserve">o lub całkowitego zwolnienia od opłat, i  trybu ich pobierania </w:t>
      </w: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42CA6">
      <w:pPr>
        <w:pStyle w:val="Tretekstu"/>
      </w:pPr>
      <w:r>
        <w:rPr>
          <w:sz w:val="24"/>
          <w:szCs w:val="24"/>
        </w:rPr>
        <w:t xml:space="preserve">Na podstawie art. 18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15 ustawy z dnia 8 marca 1990 roku o samorządzie gminnym                 (tekst jedn.: Dz. U z 2016 roku poz. 446 ze zm.) w związku z art. 50 ust. 6  ustawy z </w:t>
      </w:r>
      <w:r>
        <w:rPr>
          <w:sz w:val="24"/>
          <w:szCs w:val="24"/>
        </w:rPr>
        <w:t xml:space="preserve">dnia                    12 marca 2004 r. o pomocy społecznej (tekst jedn.: Dz. U. z 2016 r. poz. 930 ze zm.) </w:t>
      </w:r>
      <w:r>
        <w:rPr>
          <w:b/>
          <w:bCs/>
          <w:sz w:val="24"/>
          <w:szCs w:val="24"/>
        </w:rPr>
        <w:t>Rada Gminy w  Janowicach  Wielkich  uchwala, co następuje:</w:t>
      </w: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42CA6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:rsidR="006D3A5A" w:rsidRDefault="00642CA6">
      <w:pPr>
        <w:pStyle w:val="Tretekstu"/>
      </w:pPr>
      <w:r>
        <w:rPr>
          <w:sz w:val="24"/>
          <w:szCs w:val="24"/>
        </w:rPr>
        <w:t>Określa się szczegółowe warunki przyznawania i odpłatności za usługi opiekuńcze</w:t>
      </w:r>
      <w:r>
        <w:rPr>
          <w:sz w:val="24"/>
          <w:szCs w:val="24"/>
        </w:rPr>
        <w:br/>
        <w:t>i s</w:t>
      </w:r>
      <w:r>
        <w:rPr>
          <w:sz w:val="24"/>
          <w:szCs w:val="24"/>
        </w:rPr>
        <w:t>pecjalistyczne usługi opiekuńcze, z wyłączeniem specjalistycznych usług opiekuńczych dla osób z zaburzeniami psychicznymi oraz szczegółowe warunki częściowego lub całkowitego zwolnienia z odpłatności za usługi opiekuńcze a także trybu ich pobierania.</w:t>
      </w:r>
    </w:p>
    <w:p w:rsidR="006D3A5A" w:rsidRDefault="006D3A5A">
      <w:pPr>
        <w:pStyle w:val="Tretekstu"/>
        <w:rPr>
          <w:b/>
          <w:bCs/>
          <w:sz w:val="24"/>
          <w:szCs w:val="24"/>
        </w:rPr>
      </w:pPr>
    </w:p>
    <w:p w:rsidR="006D3A5A" w:rsidRDefault="00642CA6">
      <w:pPr>
        <w:pStyle w:val="Tretekstu"/>
        <w:jc w:val="center"/>
      </w:pPr>
      <w:r>
        <w:rPr>
          <w:b/>
          <w:bCs/>
          <w:sz w:val="24"/>
          <w:szCs w:val="24"/>
        </w:rPr>
        <w:t>§ 2</w:t>
      </w:r>
    </w:p>
    <w:p w:rsidR="006D3A5A" w:rsidRDefault="00642CA6">
      <w:pPr>
        <w:pStyle w:val="Tretekstu"/>
      </w:pPr>
      <w:r>
        <w:rPr>
          <w:sz w:val="24"/>
          <w:szCs w:val="24"/>
        </w:rPr>
        <w:t xml:space="preserve">Usługi opiekuńcze i specjalistyczne usługi opiekuńcze zwane dalej ,,usługami” przyznaje się osobie w miejscu zamieszkania po ustaleniu, że zachodzą przesłanki do ich udzielenia określone w ustawie o pomocy społecznej. </w:t>
      </w: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42CA6">
      <w:pPr>
        <w:pStyle w:val="Tretekstu"/>
        <w:jc w:val="center"/>
      </w:pPr>
      <w:bookmarkStart w:id="0" w:name="__DdeLink__211_910566374"/>
      <w:r>
        <w:rPr>
          <w:b/>
          <w:bCs/>
          <w:sz w:val="24"/>
          <w:szCs w:val="24"/>
        </w:rPr>
        <w:t>§</w:t>
      </w:r>
      <w:bookmarkEnd w:id="0"/>
      <w:r>
        <w:rPr>
          <w:b/>
          <w:bCs/>
          <w:sz w:val="24"/>
          <w:szCs w:val="24"/>
        </w:rPr>
        <w:t xml:space="preserve"> 3</w:t>
      </w:r>
    </w:p>
    <w:p w:rsidR="006D3A5A" w:rsidRDefault="00642CA6">
      <w:pPr>
        <w:pStyle w:val="Tretekstu"/>
        <w:numPr>
          <w:ilvl w:val="0"/>
          <w:numId w:val="2"/>
        </w:numPr>
        <w:tabs>
          <w:tab w:val="left" w:pos="426"/>
        </w:tabs>
        <w:ind w:left="284" w:hanging="284"/>
      </w:pPr>
      <w:r>
        <w:rPr>
          <w:sz w:val="24"/>
          <w:szCs w:val="24"/>
        </w:rPr>
        <w:t>Wymiar i zakres przyznawanych us</w:t>
      </w:r>
      <w:r>
        <w:rPr>
          <w:sz w:val="24"/>
          <w:szCs w:val="24"/>
        </w:rPr>
        <w:t>ług opiekuńczych i specjalistycznych usług opiekuńczych uzależniony jest od stanu zdrowia świadczeniobiorcy, jego sytuacji rodzinnej oraz sytuacji materialnej jego rodziny, a także możliwości finansowych gminy.</w:t>
      </w:r>
    </w:p>
    <w:p w:rsidR="006D3A5A" w:rsidRDefault="00642CA6">
      <w:pPr>
        <w:pStyle w:val="Tretekstu"/>
        <w:numPr>
          <w:ilvl w:val="0"/>
          <w:numId w:val="2"/>
        </w:numPr>
        <w:tabs>
          <w:tab w:val="left" w:pos="284"/>
        </w:tabs>
        <w:ind w:left="284" w:hanging="284"/>
      </w:pPr>
      <w:r>
        <w:rPr>
          <w:sz w:val="24"/>
          <w:szCs w:val="24"/>
        </w:rPr>
        <w:t xml:space="preserve">Odpłatność za świadczone usługi opiekuńcze i </w:t>
      </w:r>
      <w:r>
        <w:rPr>
          <w:sz w:val="24"/>
          <w:szCs w:val="24"/>
        </w:rPr>
        <w:t>specjalistyczne usługi opiekuńcze ustala się</w:t>
      </w:r>
      <w:r>
        <w:rPr>
          <w:sz w:val="24"/>
          <w:szCs w:val="24"/>
        </w:rPr>
        <w:br/>
        <w:t>w zależności od posiadanego dochodu osoby lub dochodu na osobę w rodzinie, w stosunku do aktualnie obowiązującego kryterium dochodowego</w:t>
      </w:r>
      <w:r>
        <w:rPr>
          <w:sz w:val="24"/>
          <w:szCs w:val="24"/>
        </w:rPr>
        <w:t xml:space="preserve"> osoby samotnie gospodarującej lub kryterium dochodowego na osobę w rodzinie</w:t>
      </w:r>
      <w:r>
        <w:rPr>
          <w:sz w:val="24"/>
          <w:szCs w:val="24"/>
        </w:rPr>
        <w:t>, o którym mowa w art. 8 ust.1 ustawy z dnia                      12 marca 2004 r. o pomocy społecznej.</w:t>
      </w:r>
    </w:p>
    <w:p w:rsidR="006D3A5A" w:rsidRDefault="00642CA6">
      <w:pPr>
        <w:pStyle w:val="Tretekstu"/>
        <w:numPr>
          <w:ilvl w:val="0"/>
          <w:numId w:val="2"/>
        </w:numPr>
        <w:tabs>
          <w:tab w:val="left" w:pos="284"/>
        </w:tabs>
        <w:ind w:left="284" w:hanging="284"/>
      </w:pPr>
      <w:r>
        <w:rPr>
          <w:sz w:val="24"/>
          <w:szCs w:val="24"/>
        </w:rPr>
        <w:t>Pełna odpłatność za jedną godzinę (60 minut) usług opiekuńczych wynosi 2,0 % najniższej emerytury ogłoszonej przez Prezesa Zakładu Ubezpieczeń Społeczny</w:t>
      </w:r>
      <w:r>
        <w:rPr>
          <w:sz w:val="24"/>
          <w:szCs w:val="24"/>
        </w:rPr>
        <w:t>ch w Dzienniku Urzędowym Rzeczpospolitej Polskiej „Monitor Polski”.</w:t>
      </w:r>
    </w:p>
    <w:p w:rsidR="006D3A5A" w:rsidRDefault="00642CA6">
      <w:pPr>
        <w:pStyle w:val="Tretekstu"/>
        <w:numPr>
          <w:ilvl w:val="0"/>
          <w:numId w:val="2"/>
        </w:numPr>
        <w:tabs>
          <w:tab w:val="left" w:pos="284"/>
        </w:tabs>
        <w:ind w:left="284" w:hanging="284"/>
      </w:pPr>
      <w:r>
        <w:rPr>
          <w:sz w:val="24"/>
          <w:szCs w:val="24"/>
        </w:rPr>
        <w:t xml:space="preserve">Pełna odpłatność za jedną godzinę (60 minut) specjalistycznych usług opiekuńczych wynosi 2,5 % najniższej emerytury ogłoszonej przez Prezesa Zakładu Ubezpieczeń Społecznych </w:t>
      </w:r>
      <w:r>
        <w:rPr>
          <w:sz w:val="24"/>
          <w:szCs w:val="24"/>
        </w:rPr>
        <w:br/>
        <w:t>w Dzienniku Ur</w:t>
      </w:r>
      <w:r>
        <w:rPr>
          <w:sz w:val="24"/>
          <w:szCs w:val="24"/>
        </w:rPr>
        <w:t>zędowym Rzeczpospolitej Polskiej „Monitor Polski”.</w:t>
      </w:r>
    </w:p>
    <w:p w:rsidR="006D3A5A" w:rsidRDefault="00642CA6">
      <w:pPr>
        <w:pStyle w:val="Tretekstu"/>
        <w:numPr>
          <w:ilvl w:val="0"/>
          <w:numId w:val="2"/>
        </w:numPr>
        <w:tabs>
          <w:tab w:val="left" w:pos="284"/>
        </w:tabs>
        <w:ind w:left="284" w:hanging="284"/>
      </w:pPr>
      <w:r>
        <w:rPr>
          <w:sz w:val="24"/>
          <w:szCs w:val="24"/>
        </w:rPr>
        <w:t xml:space="preserve">Opłata za usługi opiekuńcze i specjalistyczne usługi opiekuńcze stanowi iloczyn ceny, </w:t>
      </w:r>
      <w:r>
        <w:rPr>
          <w:sz w:val="24"/>
          <w:szCs w:val="24"/>
        </w:rPr>
        <w:br/>
        <w:t xml:space="preserve">o której mowa w </w:t>
      </w:r>
      <w:r>
        <w:rPr>
          <w:b/>
          <w:bCs/>
          <w:sz w:val="24"/>
          <w:szCs w:val="24"/>
        </w:rPr>
        <w:t>§</w:t>
      </w:r>
      <w:r>
        <w:rPr>
          <w:sz w:val="24"/>
          <w:szCs w:val="24"/>
        </w:rPr>
        <w:t xml:space="preserve"> 3 ust. 2, ust. 3  wskaźnika odpłatności o którym mowa w </w:t>
      </w:r>
      <w:r>
        <w:rPr>
          <w:b/>
          <w:bCs/>
          <w:sz w:val="24"/>
          <w:szCs w:val="24"/>
        </w:rPr>
        <w:t>§</w:t>
      </w:r>
      <w:r>
        <w:rPr>
          <w:sz w:val="24"/>
          <w:szCs w:val="24"/>
        </w:rPr>
        <w:t xml:space="preserve"> 3ust. 5  oraz liczby godzin świadczonych u</w:t>
      </w:r>
      <w:r>
        <w:rPr>
          <w:sz w:val="24"/>
          <w:szCs w:val="24"/>
        </w:rPr>
        <w:t>sług w ciągu danego miesiąca.</w:t>
      </w:r>
    </w:p>
    <w:p w:rsidR="00246683" w:rsidRPr="00246683" w:rsidRDefault="00642CA6">
      <w:pPr>
        <w:pStyle w:val="Tretekstu"/>
        <w:numPr>
          <w:ilvl w:val="0"/>
          <w:numId w:val="2"/>
        </w:numPr>
        <w:tabs>
          <w:tab w:val="left" w:pos="284"/>
        </w:tabs>
        <w:ind w:left="284" w:hanging="284"/>
      </w:pPr>
      <w:r>
        <w:rPr>
          <w:sz w:val="24"/>
          <w:szCs w:val="24"/>
        </w:rPr>
        <w:t xml:space="preserve">Wysokość odpłatności za usługi opiekuńcze i specjalistyczne usługi opiekuńcze określa się </w:t>
      </w:r>
    </w:p>
    <w:p w:rsidR="006D3A5A" w:rsidRDefault="00246683" w:rsidP="00246683">
      <w:pPr>
        <w:pStyle w:val="Tretekstu"/>
        <w:tabs>
          <w:tab w:val="left" w:pos="284"/>
        </w:tabs>
        <w:ind w:left="360"/>
        <w:rPr>
          <w:sz w:val="24"/>
          <w:szCs w:val="24"/>
        </w:rPr>
      </w:pPr>
      <w:r>
        <w:rPr>
          <w:sz w:val="24"/>
          <w:szCs w:val="24"/>
        </w:rPr>
        <w:t>z</w:t>
      </w:r>
      <w:r w:rsidR="00642CA6">
        <w:rPr>
          <w:sz w:val="24"/>
          <w:szCs w:val="24"/>
        </w:rPr>
        <w:t xml:space="preserve">godnie z poniższą tabelą: </w:t>
      </w:r>
    </w:p>
    <w:p w:rsidR="00246683" w:rsidRDefault="00246683" w:rsidP="00246683">
      <w:pPr>
        <w:pStyle w:val="Tretekstu"/>
        <w:tabs>
          <w:tab w:val="left" w:pos="284"/>
        </w:tabs>
        <w:ind w:left="360"/>
      </w:pPr>
    </w:p>
    <w:p w:rsidR="006D3A5A" w:rsidRDefault="006D3A5A">
      <w:pPr>
        <w:pStyle w:val="Tretekstu"/>
        <w:tabs>
          <w:tab w:val="left" w:pos="284"/>
        </w:tabs>
        <w:ind w:left="284" w:hanging="284"/>
        <w:rPr>
          <w:b/>
          <w:bCs/>
          <w:sz w:val="24"/>
          <w:szCs w:val="24"/>
        </w:rPr>
      </w:pPr>
    </w:p>
    <w:p w:rsidR="006D3A5A" w:rsidRDefault="006D3A5A">
      <w:pPr>
        <w:pStyle w:val="Tretekstu"/>
        <w:tabs>
          <w:tab w:val="left" w:pos="284"/>
        </w:tabs>
        <w:ind w:left="284" w:hanging="284"/>
        <w:rPr>
          <w:b/>
          <w:bCs/>
          <w:sz w:val="24"/>
          <w:szCs w:val="24"/>
        </w:rPr>
      </w:pPr>
    </w:p>
    <w:p w:rsidR="006D3A5A" w:rsidRDefault="006D3A5A">
      <w:pPr>
        <w:pStyle w:val="Tretekstu"/>
        <w:tabs>
          <w:tab w:val="left" w:pos="284"/>
        </w:tabs>
        <w:ind w:left="284" w:hanging="284"/>
        <w:rPr>
          <w:b/>
          <w:bCs/>
          <w:sz w:val="24"/>
          <w:szCs w:val="24"/>
        </w:rPr>
      </w:pP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0A0"/>
      </w:tblPr>
      <w:tblGrid>
        <w:gridCol w:w="6060"/>
        <w:gridCol w:w="1701"/>
        <w:gridCol w:w="1451"/>
      </w:tblGrid>
      <w:tr w:rsidR="006D3A5A">
        <w:tc>
          <w:tcPr>
            <w:tcW w:w="60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6D3A5A" w:rsidRDefault="00642CA6">
            <w:pPr>
              <w:pStyle w:val="Tretekstu"/>
            </w:pPr>
            <w:r>
              <w:rPr>
                <w:b/>
                <w:bCs/>
                <w:sz w:val="22"/>
                <w:szCs w:val="22"/>
              </w:rPr>
              <w:lastRenderedPageBreak/>
              <w:t>Dochód rodziny lub osoby określony procentowo w stosunku do kryterium wg art. 8 ust 1 ustawy o pomocy spo</w:t>
            </w:r>
            <w:r>
              <w:rPr>
                <w:b/>
                <w:bCs/>
                <w:sz w:val="22"/>
                <w:szCs w:val="22"/>
              </w:rPr>
              <w:t xml:space="preserve">łecznej </w:t>
            </w:r>
          </w:p>
        </w:tc>
        <w:tc>
          <w:tcPr>
            <w:tcW w:w="31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6D3A5A" w:rsidRDefault="00642CA6">
            <w:pPr>
              <w:pStyle w:val="Tretekstu"/>
              <w:jc w:val="center"/>
            </w:pPr>
            <w:r>
              <w:rPr>
                <w:b/>
                <w:bCs/>
                <w:sz w:val="22"/>
                <w:szCs w:val="22"/>
              </w:rPr>
              <w:t>Wysokość odpłatności w % ustalona w stosunku do ceny usługi</w:t>
            </w:r>
          </w:p>
        </w:tc>
      </w:tr>
      <w:tr w:rsidR="006D3A5A">
        <w:tc>
          <w:tcPr>
            <w:tcW w:w="60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6D3A5A" w:rsidRDefault="006D3A5A">
            <w:pPr>
              <w:pStyle w:val="Tretekstu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6D3A5A" w:rsidRDefault="00642CA6">
            <w:pPr>
              <w:pStyle w:val="Tretekstu"/>
              <w:jc w:val="center"/>
            </w:pPr>
            <w:r>
              <w:rPr>
                <w:b/>
                <w:bCs/>
                <w:sz w:val="22"/>
                <w:szCs w:val="22"/>
              </w:rPr>
              <w:t>Osoba samotnie gospodarująca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6D3A5A" w:rsidRDefault="00642CA6">
            <w:pPr>
              <w:pStyle w:val="Tretekstu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Osoba </w:t>
            </w:r>
            <w:r>
              <w:rPr>
                <w:b/>
                <w:bCs/>
                <w:sz w:val="22"/>
                <w:szCs w:val="22"/>
              </w:rPr>
              <w:br/>
              <w:t>w rodzinie</w:t>
            </w:r>
          </w:p>
        </w:tc>
      </w:tr>
      <w:tr w:rsidR="006D3A5A"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D3A5A"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left"/>
            </w:pPr>
            <w:r>
              <w:rPr>
                <w:sz w:val="22"/>
                <w:szCs w:val="22"/>
              </w:rPr>
              <w:t xml:space="preserve">Do 100%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 xml:space="preserve">Nieodpłatnie 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 xml:space="preserve">Nieodpłatnie </w:t>
            </w:r>
          </w:p>
        </w:tc>
      </w:tr>
      <w:tr w:rsidR="006D3A5A"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left"/>
            </w:pPr>
            <w:r>
              <w:rPr>
                <w:sz w:val="22"/>
                <w:szCs w:val="22"/>
              </w:rPr>
              <w:t>powyżej 100 %  do 150 %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</w:tr>
      <w:tr w:rsidR="006D3A5A"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left"/>
            </w:pPr>
            <w:r>
              <w:rPr>
                <w:sz w:val="22"/>
                <w:szCs w:val="22"/>
              </w:rPr>
              <w:t>powyżej 150 %  do 200 %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40%</w:t>
            </w:r>
          </w:p>
        </w:tc>
      </w:tr>
      <w:tr w:rsidR="006D3A5A"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left"/>
            </w:pPr>
            <w:r>
              <w:rPr>
                <w:sz w:val="22"/>
                <w:szCs w:val="22"/>
              </w:rPr>
              <w:t>powyżej 200 %  do 250 %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60%</w:t>
            </w:r>
          </w:p>
        </w:tc>
      </w:tr>
      <w:tr w:rsidR="006D3A5A"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left"/>
            </w:pPr>
            <w:r>
              <w:rPr>
                <w:sz w:val="22"/>
                <w:szCs w:val="22"/>
              </w:rPr>
              <w:t>powyżej 250 %  do 300 %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</w:tr>
      <w:tr w:rsidR="006D3A5A">
        <w:tc>
          <w:tcPr>
            <w:tcW w:w="6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left"/>
            </w:pPr>
            <w:r>
              <w:rPr>
                <w:sz w:val="22"/>
                <w:szCs w:val="22"/>
              </w:rPr>
              <w:t>powyżej 300 %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6D3A5A" w:rsidRDefault="00642CA6">
            <w:pPr>
              <w:pStyle w:val="Tretekstu"/>
              <w:jc w:val="center"/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6D3A5A" w:rsidRDefault="00642CA6">
      <w:pPr>
        <w:pStyle w:val="Tretekstu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3A5A" w:rsidRDefault="00642CA6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:rsidR="006D3A5A" w:rsidRDefault="00642CA6">
      <w:pPr>
        <w:pStyle w:val="Tretekstu"/>
      </w:pPr>
      <w:r>
        <w:rPr>
          <w:sz w:val="24"/>
          <w:szCs w:val="24"/>
        </w:rPr>
        <w:t xml:space="preserve">Osoba, na rzecz której przyznano usługi opiekuńcze lub specjalistyczne usługi opiekuńcze może być częściowo lub całkowicie zwolniona na czas określony z ponoszenia odpłatności za </w:t>
      </w:r>
      <w:r>
        <w:rPr>
          <w:sz w:val="24"/>
          <w:szCs w:val="24"/>
        </w:rPr>
        <w:t>przedmiotowe usługi w przypadku:</w:t>
      </w:r>
    </w:p>
    <w:p w:rsidR="006D3A5A" w:rsidRDefault="00642CA6">
      <w:pPr>
        <w:pStyle w:val="Tretekstu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obciążenia obowiązkiem ponoszenia odpłatności za pobyt członka rodziny w domu pomocy społecznej, ośrodku wsparcia lub innej placówce opiekuńczej, </w:t>
      </w:r>
    </w:p>
    <w:p w:rsidR="006D3A5A" w:rsidRDefault="00642CA6">
      <w:pPr>
        <w:pStyle w:val="Tretekstu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korzystania z usług opiekuńczych przez więcej niż jedną osobę w rodzinie,</w:t>
      </w:r>
    </w:p>
    <w:p w:rsidR="006D3A5A" w:rsidRDefault="00642CA6">
      <w:pPr>
        <w:pStyle w:val="Tretekstu"/>
        <w:numPr>
          <w:ilvl w:val="0"/>
          <w:numId w:val="1"/>
        </w:numPr>
        <w:tabs>
          <w:tab w:val="left" w:pos="426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wy</w:t>
      </w:r>
      <w:r>
        <w:rPr>
          <w:sz w:val="24"/>
          <w:szCs w:val="24"/>
        </w:rPr>
        <w:t>stąpienia zdarzenia losowego mającego wpływ na sytuację majątkową osoby uprawnionej do usług opiekuńczych.</w:t>
      </w: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42CA6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:rsidR="006D3A5A" w:rsidRDefault="00642CA6">
      <w:pPr>
        <w:pStyle w:val="Tretekstu"/>
      </w:pPr>
      <w:r>
        <w:rPr>
          <w:sz w:val="24"/>
          <w:szCs w:val="24"/>
        </w:rPr>
        <w:t>Odpłatność wnoszona jest przez osobę zobowiązaną do uiszczenia opłaty  na rachunek bankowy Gminnego Ośrodka Pomocy Społecznej w Janowicach Wielk</w:t>
      </w:r>
      <w:r>
        <w:rPr>
          <w:sz w:val="24"/>
          <w:szCs w:val="24"/>
        </w:rPr>
        <w:t xml:space="preserve">ich. </w:t>
      </w: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42CA6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:rsidR="006D3A5A" w:rsidRDefault="00642CA6">
      <w:pPr>
        <w:pStyle w:val="Tretekstu"/>
      </w:pPr>
      <w:r>
        <w:rPr>
          <w:sz w:val="24"/>
          <w:szCs w:val="24"/>
        </w:rPr>
        <w:t xml:space="preserve">Traci moc uchwała Nr VI/28/2015 Rady Gminy Janowice Wielkie z dnia 26 marca 2015  roku </w:t>
      </w:r>
      <w:r>
        <w:rPr>
          <w:sz w:val="24"/>
          <w:szCs w:val="24"/>
        </w:rPr>
        <w:br/>
        <w:t>w sprawie określenia szczegółowych warunków przyznawania i odpłatności za usługi opiekuńcze i specjalistyczne usługi opiekuńcze z wyłączeniem specjalistyczny</w:t>
      </w:r>
      <w:r>
        <w:rPr>
          <w:sz w:val="24"/>
          <w:szCs w:val="24"/>
        </w:rPr>
        <w:t xml:space="preserve">ch usług opiekuńczych dla osób z zaburzeniami psychicznymi oraz szczegółowych warunków częściowego lub całkowitego zwolnienia od opłat i  trybu ich pobierania. </w:t>
      </w: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42CA6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:rsidR="006D3A5A" w:rsidRDefault="00642CA6">
      <w:pPr>
        <w:pStyle w:val="Tretekstu"/>
        <w:rPr>
          <w:sz w:val="24"/>
          <w:szCs w:val="24"/>
        </w:rPr>
      </w:pPr>
      <w:r>
        <w:rPr>
          <w:sz w:val="24"/>
          <w:szCs w:val="24"/>
        </w:rPr>
        <w:t xml:space="preserve">Wykonanie uchwały powierza się  Wójtowi Gminy  Janowice  Wielkie. </w:t>
      </w: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42CA6">
      <w:pPr>
        <w:pStyle w:val="Tretekstu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8</w:t>
      </w:r>
    </w:p>
    <w:p w:rsidR="006D3A5A" w:rsidRDefault="00642CA6">
      <w:pPr>
        <w:pStyle w:val="Tretekstu"/>
      </w:pPr>
      <w:r>
        <w:rPr>
          <w:sz w:val="24"/>
          <w:szCs w:val="24"/>
        </w:rPr>
        <w:t xml:space="preserve">Uchwała wchodzi w </w:t>
      </w:r>
      <w:r>
        <w:rPr>
          <w:sz w:val="24"/>
          <w:szCs w:val="24"/>
        </w:rPr>
        <w:t>życie po upływie 14 dni od dnia ogłoszenia w Dzienniku Urzędowym Województwa  Dolnośląskiego</w:t>
      </w:r>
      <w:r>
        <w:rPr>
          <w:b/>
          <w:bCs/>
          <w:sz w:val="24"/>
          <w:szCs w:val="24"/>
        </w:rPr>
        <w:t>.</w:t>
      </w: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D3A5A">
      <w:pPr>
        <w:pStyle w:val="Tretekstu"/>
        <w:rPr>
          <w:sz w:val="24"/>
          <w:szCs w:val="24"/>
        </w:rPr>
      </w:pPr>
    </w:p>
    <w:p w:rsidR="006D3A5A" w:rsidRDefault="006D3A5A">
      <w:pPr>
        <w:pStyle w:val="Tretekstu"/>
        <w:rPr>
          <w:sz w:val="24"/>
          <w:szCs w:val="24"/>
        </w:rPr>
      </w:pPr>
      <w:bookmarkStart w:id="1" w:name="_GoBack"/>
      <w:bookmarkEnd w:id="1"/>
    </w:p>
    <w:p w:rsidR="006D3A5A" w:rsidRDefault="006D3A5A">
      <w:pPr>
        <w:pStyle w:val="Tretekstu"/>
        <w:rPr>
          <w:sz w:val="24"/>
          <w:szCs w:val="24"/>
        </w:rPr>
      </w:pPr>
    </w:p>
    <w:p w:rsidR="00246683" w:rsidRDefault="00246683">
      <w:pPr>
        <w:pStyle w:val="Nagwek2"/>
        <w:rPr>
          <w:rFonts w:ascii="Times New Roman" w:hAnsi="Times New Roman" w:cs="Times New Roman"/>
          <w:sz w:val="24"/>
          <w:szCs w:val="24"/>
        </w:rPr>
      </w:pPr>
    </w:p>
    <w:p w:rsidR="00246683" w:rsidRDefault="00246683">
      <w:pPr>
        <w:pStyle w:val="Nagwek2"/>
        <w:rPr>
          <w:rFonts w:ascii="Times New Roman" w:hAnsi="Times New Roman" w:cs="Times New Roman"/>
          <w:sz w:val="24"/>
          <w:szCs w:val="24"/>
        </w:rPr>
      </w:pPr>
    </w:p>
    <w:p w:rsidR="00246683" w:rsidRDefault="00246683">
      <w:pPr>
        <w:pStyle w:val="Nagwek2"/>
        <w:rPr>
          <w:rFonts w:ascii="Times New Roman" w:hAnsi="Times New Roman" w:cs="Times New Roman"/>
          <w:sz w:val="24"/>
          <w:szCs w:val="24"/>
        </w:rPr>
      </w:pPr>
    </w:p>
    <w:p w:rsidR="00246683" w:rsidRDefault="00246683">
      <w:pPr>
        <w:pStyle w:val="Nagwek2"/>
        <w:rPr>
          <w:rFonts w:ascii="Times New Roman" w:hAnsi="Times New Roman" w:cs="Times New Roman"/>
          <w:sz w:val="24"/>
          <w:szCs w:val="24"/>
        </w:rPr>
      </w:pPr>
    </w:p>
    <w:p w:rsidR="006D3A5A" w:rsidRDefault="006D3A5A">
      <w:pPr>
        <w:pStyle w:val="Nagwek2"/>
        <w:rPr>
          <w:rFonts w:ascii="Times New Roman" w:hAnsi="Times New Roman" w:cs="Times New Roman"/>
          <w:sz w:val="24"/>
          <w:szCs w:val="24"/>
        </w:rPr>
      </w:pPr>
    </w:p>
    <w:p w:rsidR="006D3A5A" w:rsidRDefault="006D3A5A">
      <w:pPr>
        <w:pStyle w:val="Nagwek2"/>
        <w:rPr>
          <w:rFonts w:ascii="Times New Roman" w:hAnsi="Times New Roman" w:cs="Times New Roman"/>
          <w:sz w:val="24"/>
          <w:szCs w:val="24"/>
        </w:rPr>
      </w:pPr>
    </w:p>
    <w:p w:rsidR="006D3A5A" w:rsidRDefault="00642CA6">
      <w:pPr>
        <w:pStyle w:val="Nagwek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:rsidR="006D3A5A" w:rsidRDefault="006D3A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5A" w:rsidRDefault="00642CA6">
      <w:pPr>
        <w:spacing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</w:rPr>
        <w:t>Problemy osób w podeszłym wieku, przewlekle chorych i niepełnosprawnych o niskim statusie ekonomicznym, wymagających pomoc</w:t>
      </w:r>
      <w:r>
        <w:rPr>
          <w:rFonts w:ascii="Times New Roman" w:hAnsi="Times New Roman" w:cs="Times New Roman"/>
        </w:rPr>
        <w:t>y osób drugich w codziennym funkcjonowaniu to jedna</w:t>
      </w:r>
      <w:r>
        <w:rPr>
          <w:rFonts w:ascii="Times New Roman" w:hAnsi="Times New Roman" w:cs="Times New Roman"/>
        </w:rPr>
        <w:br/>
        <w:t xml:space="preserve"> z wielu kwestii społecznych wymagających działań wspierających ze strony służb społecznych.</w:t>
      </w:r>
    </w:p>
    <w:p w:rsidR="006D3A5A" w:rsidRDefault="00642CA6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Ustawa o pomocy społecznej stanowi, iż </w:t>
      </w:r>
      <w:r>
        <w:rPr>
          <w:rFonts w:ascii="Times New Roman" w:hAnsi="Times New Roman" w:cs="Times New Roman"/>
          <w:lang w:eastAsia="pl-PL"/>
        </w:rPr>
        <w:t xml:space="preserve">do zadań własnych Gminy o charakterze obowiązkowym należy organizowanie </w:t>
      </w:r>
      <w:r>
        <w:rPr>
          <w:rFonts w:ascii="Times New Roman" w:hAnsi="Times New Roman" w:cs="Times New Roman"/>
          <w:lang w:eastAsia="pl-PL"/>
        </w:rPr>
        <w:t xml:space="preserve">i świadczenie usług opiekuńczych, w tym specjalistycznych w miejscu zamieszkania </w:t>
      </w:r>
      <w:r>
        <w:rPr>
          <w:rFonts w:ascii="Times New Roman" w:hAnsi="Times New Roman" w:cs="Times New Roman"/>
          <w:lang w:eastAsia="pl-PL"/>
        </w:rPr>
        <w:br/>
        <w:t>z wyłączeniem specjalistycznych usług opiekuńczych dla osób z zaburzeniami psychicznymi.</w:t>
      </w:r>
    </w:p>
    <w:p w:rsidR="006D3A5A" w:rsidRDefault="006D3A5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D3A5A" w:rsidRDefault="00642CA6">
      <w:pPr>
        <w:pStyle w:val="Tretekstu"/>
        <w:rPr>
          <w:sz w:val="22"/>
          <w:szCs w:val="22"/>
        </w:rPr>
      </w:pPr>
      <w:bookmarkStart w:id="2" w:name="__DdeLink__1475_1000794227"/>
      <w:r>
        <w:rPr>
          <w:color w:val="000000"/>
          <w:sz w:val="22"/>
          <w:szCs w:val="22"/>
          <w:u w:val="single"/>
        </w:rPr>
        <w:t>Art.18 ust. 2 pkt. 15</w:t>
      </w:r>
      <w:r>
        <w:rPr>
          <w:color w:val="000000"/>
          <w:sz w:val="22"/>
          <w:szCs w:val="22"/>
        </w:rPr>
        <w:t xml:space="preserve"> ustawy z dnia 8 marca 1990 r. o samorządzie gminnym</w:t>
      </w:r>
      <w:bookmarkEnd w:id="2"/>
      <w:r>
        <w:rPr>
          <w:color w:val="000000"/>
          <w:sz w:val="22"/>
          <w:szCs w:val="22"/>
        </w:rPr>
        <w:t xml:space="preserve"> (</w:t>
      </w:r>
      <w:r>
        <w:rPr>
          <w:sz w:val="22"/>
          <w:szCs w:val="22"/>
        </w:rPr>
        <w:t xml:space="preserve">tekst jednolity  Dz. U z 2016 roku poz.446 ze zm.) </w:t>
      </w:r>
      <w:r>
        <w:rPr>
          <w:color w:val="000000"/>
          <w:sz w:val="22"/>
          <w:szCs w:val="22"/>
        </w:rPr>
        <w:t>stanowi, że do wyłącznej właściwości rady gminy należy stanowienie w innych sprawach zastrzeżonych ustawami do kompetencji rady gminy.</w:t>
      </w:r>
    </w:p>
    <w:p w:rsidR="006D3A5A" w:rsidRDefault="006D3A5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6D3A5A" w:rsidRDefault="00642CA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Podstawę niniejszego projektu uchwały wskazuje </w:t>
      </w:r>
      <w:r>
        <w:rPr>
          <w:rFonts w:ascii="Times New Roman" w:hAnsi="Times New Roman" w:cs="Times New Roman"/>
          <w:u w:val="single"/>
        </w:rPr>
        <w:t>art. 50 ust. 6 ustawy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dnia 12 marca 2004 r. </w:t>
      </w:r>
      <w:r>
        <w:rPr>
          <w:rFonts w:ascii="Times New Roman" w:hAnsi="Times New Roman" w:cs="Times New Roman"/>
        </w:rPr>
        <w:br/>
        <w:t xml:space="preserve">o pomocy społecznej (Dz. U. z 2016 r., poz.930 ze zm.) zgodnie z którym rada gminy określa, </w:t>
      </w:r>
      <w:r>
        <w:rPr>
          <w:rFonts w:ascii="Times New Roman" w:hAnsi="Times New Roman" w:cs="Times New Roman"/>
        </w:rPr>
        <w:br/>
        <w:t>w drodze uchwały szczegółowe warunki przyznawania i odpłatności za usługi opiekuńcze</w:t>
      </w:r>
      <w:r>
        <w:rPr>
          <w:rFonts w:ascii="Times New Roman" w:hAnsi="Times New Roman" w:cs="Times New Roman"/>
        </w:rPr>
        <w:br/>
        <w:t>i specjalistyczne usługi opiekuńcze, z wyłączeniem sp</w:t>
      </w:r>
      <w:r>
        <w:rPr>
          <w:rFonts w:ascii="Times New Roman" w:hAnsi="Times New Roman" w:cs="Times New Roman"/>
        </w:rPr>
        <w:t xml:space="preserve">ecjalistycznych usług opiekuńczych dla osób </w:t>
      </w:r>
      <w:r>
        <w:rPr>
          <w:rFonts w:ascii="Times New Roman" w:hAnsi="Times New Roman" w:cs="Times New Roman"/>
        </w:rPr>
        <w:br/>
        <w:t>z zaburzeniami psychicznymi oraz szczegółowe warunki częściowego lub całkowitego zwolnienia od opłat, jak również tryb ich pobierania.</w:t>
      </w:r>
    </w:p>
    <w:p w:rsidR="006D3A5A" w:rsidRDefault="0064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Potrzeba podjęcia niniejszej uchwały spowodowana jest koniecznością uregulow</w:t>
      </w:r>
      <w:r>
        <w:rPr>
          <w:rFonts w:ascii="Times New Roman" w:hAnsi="Times New Roman" w:cs="Times New Roman"/>
        </w:rPr>
        <w:t>ania nowych zasad ustalania odpłatności za usługi opiekuńcze i specjalistyczne usługi opiekuńcze oraz uszczegółowienia trybu pobierania opłat, a także warunków całkowitego lub częściowego zwolnienia z odpłatności za usługi opiekuńcze, a także podyktowany k</w:t>
      </w:r>
      <w:r>
        <w:rPr>
          <w:rFonts w:ascii="Times New Roman" w:hAnsi="Times New Roman" w:cs="Times New Roman"/>
        </w:rPr>
        <w:t>oniecznością określenia w  w/wym. uchwale kosztu 1 godziny świadczonych usług opiekuńczych i specjalistycznych usług opiekuńczych.</w:t>
      </w:r>
    </w:p>
    <w:p w:rsidR="006D3A5A" w:rsidRDefault="0064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Wysokość opłat za usługi opiekuńcze i specjalistyczne usługi opiekuńcze, które muszą ponieść osoby </w:t>
      </w:r>
      <w:r>
        <w:rPr>
          <w:rFonts w:ascii="Times New Roman" w:hAnsi="Times New Roman" w:cs="Times New Roman"/>
        </w:rPr>
        <w:br/>
        <w:t>z nich korzystające, obli</w:t>
      </w:r>
      <w:r>
        <w:rPr>
          <w:rFonts w:ascii="Times New Roman" w:hAnsi="Times New Roman" w:cs="Times New Roman"/>
        </w:rPr>
        <w:t>czana jest w odniesieniu do tego  czy i w jakim stopniu dochód rodziny lub osoby samotnie gospodarującej przekracza kryterium dochodowe, określone w art. 8 ust. 1 cytowanej wyżej ustawy o pomocy społecznej.</w:t>
      </w:r>
    </w:p>
    <w:p w:rsidR="006D3A5A" w:rsidRDefault="00642C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określa nowe progi procentowe, według któ</w:t>
      </w:r>
      <w:r>
        <w:rPr>
          <w:rFonts w:ascii="Times New Roman" w:hAnsi="Times New Roman" w:cs="Times New Roman"/>
        </w:rPr>
        <w:t>rych naliczane są opłaty. Zmiana ta ma na celu dostosowanie kwot odpłatności do możliwości finansowych osób, na rzecz których świadczone są usługi opiekuńcze. Odnosząc się do potrzeb osób i rodzin w powyższym zakresie Gmina Janowice Wielkie realizuje zadan</w:t>
      </w:r>
      <w:r>
        <w:rPr>
          <w:rFonts w:ascii="Times New Roman" w:hAnsi="Times New Roman" w:cs="Times New Roman"/>
        </w:rPr>
        <w:t>ia świadczenia usług opiekuńczych w środowiskach, które wymagają tego wsparcia.</w:t>
      </w:r>
    </w:p>
    <w:p w:rsidR="006D3A5A" w:rsidRDefault="00642CA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Na podstawie analizy realizacji świadczenia usług opiekuńczych w gminach ościennych  przyjęto nową podstawę dla stawki  1 godziny, która </w:t>
      </w:r>
      <w:r>
        <w:rPr>
          <w:rFonts w:ascii="Times New Roman" w:hAnsi="Times New Roman" w:cs="Times New Roman"/>
        </w:rPr>
        <w:t>wyniesie  17,65 zł brutto (dotychczas 1</w:t>
      </w:r>
      <w:r>
        <w:rPr>
          <w:rFonts w:ascii="Times New Roman" w:hAnsi="Times New Roman" w:cs="Times New Roman"/>
        </w:rPr>
        <w:t>0,00 zł brutto).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Wzrost  stawki wynika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przede wszystkim z podniesienia od 1 stycznia 2017 r. na podstawie nowelizowanej ustawy o  minimalnym wynagrodzeniu za pracę, stawki godzinowej za pracę z umów zleceń czy umów oświadczenie usług. </w:t>
      </w:r>
    </w:p>
    <w:p w:rsidR="006D3A5A" w:rsidRDefault="00642CA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D3A5A" w:rsidRDefault="00642CA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 xml:space="preserve">W praktyce wykonywanie uchwały dotyczy rzadko występujących sytuacji. Aktualnie GOPS nie organizuje usług opiekuńczych z powodu braku osób zainteresowanych. </w:t>
      </w:r>
    </w:p>
    <w:p w:rsidR="006D3A5A" w:rsidRDefault="006D3A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A5A" w:rsidRDefault="00642CA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Powyższy projekt uchwały został opracowany zgodnie z ww. obligatoryjnymi zadaniami oraz potrzebam</w:t>
      </w:r>
      <w:r>
        <w:rPr>
          <w:rFonts w:ascii="Times New Roman" w:hAnsi="Times New Roman" w:cs="Times New Roman"/>
          <w:b/>
          <w:bCs/>
          <w:color w:val="000000"/>
        </w:rPr>
        <w:t>i występującymi na terenie gminy. W świetle powyższego podjęcie uchwały  jest  w pełni zasadne.</w:t>
      </w:r>
    </w:p>
    <w:p w:rsidR="006D3A5A" w:rsidRDefault="006D3A5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D3A5A" w:rsidRDefault="00642CA6">
      <w:pPr>
        <w:spacing w:after="0" w:line="240" w:lineRule="auto"/>
        <w:jc w:val="both"/>
      </w:pPr>
      <w:r>
        <w:rPr>
          <w:rFonts w:ascii="TimesNewRoman" w:hAnsi="TimesNewRoman"/>
          <w:sz w:val="24"/>
        </w:rPr>
        <w:t xml:space="preserve"> </w:t>
      </w:r>
    </w:p>
    <w:p w:rsidR="006D3A5A" w:rsidRDefault="006D3A5A">
      <w:pPr>
        <w:spacing w:after="0" w:line="240" w:lineRule="auto"/>
        <w:jc w:val="both"/>
        <w:rPr>
          <w:rFonts w:ascii="TimesNewRoman" w:hAnsi="TimesNewRoman"/>
          <w:sz w:val="24"/>
        </w:rPr>
      </w:pPr>
    </w:p>
    <w:p w:rsidR="006D3A5A" w:rsidRDefault="006D3A5A">
      <w:pPr>
        <w:spacing w:after="0" w:line="240" w:lineRule="auto"/>
        <w:jc w:val="both"/>
        <w:rPr>
          <w:rFonts w:ascii="TimesNewRoman" w:hAnsi="TimesNewRoman"/>
        </w:rPr>
      </w:pPr>
    </w:p>
    <w:p w:rsidR="006D3A5A" w:rsidRDefault="006D3A5A">
      <w:pPr>
        <w:spacing w:after="0" w:line="240" w:lineRule="auto"/>
        <w:jc w:val="both"/>
        <w:rPr>
          <w:rFonts w:ascii="TimesNewRoman" w:hAnsi="TimesNewRoman"/>
        </w:rPr>
      </w:pPr>
    </w:p>
    <w:p w:rsidR="006D3A5A" w:rsidRDefault="006D3A5A">
      <w:pPr>
        <w:spacing w:after="0" w:line="240" w:lineRule="auto"/>
        <w:jc w:val="both"/>
      </w:pPr>
    </w:p>
    <w:sectPr w:rsidR="006D3A5A" w:rsidSect="006D3A5A">
      <w:headerReference w:type="default" r:id="rId7"/>
      <w:footerReference w:type="default" r:id="rId8"/>
      <w:pgSz w:w="11906" w:h="16838"/>
      <w:pgMar w:top="765" w:right="1133" w:bottom="851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CA6" w:rsidRDefault="00642CA6" w:rsidP="006D3A5A">
      <w:pPr>
        <w:spacing w:after="0" w:line="240" w:lineRule="auto"/>
      </w:pPr>
      <w:r>
        <w:separator/>
      </w:r>
    </w:p>
  </w:endnote>
  <w:endnote w:type="continuationSeparator" w:id="0">
    <w:p w:rsidR="00642CA6" w:rsidRDefault="00642CA6" w:rsidP="006D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5A" w:rsidRDefault="006D3A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CA6" w:rsidRDefault="00642CA6" w:rsidP="006D3A5A">
      <w:pPr>
        <w:spacing w:after="0" w:line="240" w:lineRule="auto"/>
      </w:pPr>
      <w:r>
        <w:separator/>
      </w:r>
    </w:p>
  </w:footnote>
  <w:footnote w:type="continuationSeparator" w:id="0">
    <w:p w:rsidR="00642CA6" w:rsidRDefault="00642CA6" w:rsidP="006D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5A" w:rsidRDefault="006D3A5A">
    <w:pPr>
      <w:pStyle w:val="Gw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009E"/>
    <w:multiLevelType w:val="multilevel"/>
    <w:tmpl w:val="A2AAE3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D46A33"/>
    <w:multiLevelType w:val="multilevel"/>
    <w:tmpl w:val="DEE0DAB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1842"/>
    <w:multiLevelType w:val="multilevel"/>
    <w:tmpl w:val="110C5E0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A5A"/>
    <w:rsid w:val="00246683"/>
    <w:rsid w:val="00642CA6"/>
    <w:rsid w:val="006D3A5A"/>
    <w:rsid w:val="0091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158"/>
    <w:pPr>
      <w:spacing w:after="200" w:line="360" w:lineRule="auto"/>
    </w:pPr>
    <w:rPr>
      <w:rFonts w:cs="Calibri"/>
      <w:color w:val="00000A"/>
      <w:sz w:val="22"/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5F7158"/>
    <w:pPr>
      <w:keepNext/>
      <w:spacing w:after="0" w:line="240" w:lineRule="auto"/>
      <w:jc w:val="center"/>
      <w:outlineLvl w:val="1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5F7158"/>
    <w:rPr>
      <w:rFonts w:ascii="Calibri" w:hAnsi="Calibri" w:cs="Calibri"/>
      <w:b/>
      <w:bCs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sid w:val="005F7158"/>
    <w:rPr>
      <w:rFonts w:ascii="Times New Roman" w:hAnsi="Times New Roman" w:cs="Times New Roman"/>
      <w:sz w:val="28"/>
      <w:szCs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5F7158"/>
    <w:rPr>
      <w:rFonts w:ascii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D50EC4"/>
    <w:rPr>
      <w:rFonts w:ascii="Calibri" w:hAnsi="Calibri" w:cs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D50EC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6D3A5A"/>
    <w:rPr>
      <w:rFonts w:cs="Symbol"/>
    </w:rPr>
  </w:style>
  <w:style w:type="character" w:customStyle="1" w:styleId="ListLabel2">
    <w:name w:val="ListLabel 2"/>
    <w:qFormat/>
    <w:rsid w:val="006D3A5A"/>
    <w:rPr>
      <w:rFonts w:cs="Courier New"/>
    </w:rPr>
  </w:style>
  <w:style w:type="character" w:customStyle="1" w:styleId="ListLabel3">
    <w:name w:val="ListLabel 3"/>
    <w:qFormat/>
    <w:rsid w:val="006D3A5A"/>
    <w:rPr>
      <w:rFonts w:cs="Wingdings"/>
    </w:rPr>
  </w:style>
  <w:style w:type="character" w:customStyle="1" w:styleId="ListLabel4">
    <w:name w:val="ListLabel 4"/>
    <w:qFormat/>
    <w:rsid w:val="006D3A5A"/>
    <w:rPr>
      <w:rFonts w:cs="Symbol"/>
    </w:rPr>
  </w:style>
  <w:style w:type="character" w:customStyle="1" w:styleId="ListLabel5">
    <w:name w:val="ListLabel 5"/>
    <w:qFormat/>
    <w:rsid w:val="006D3A5A"/>
    <w:rPr>
      <w:rFonts w:cs="Courier New"/>
    </w:rPr>
  </w:style>
  <w:style w:type="character" w:customStyle="1" w:styleId="ListLabel6">
    <w:name w:val="ListLabel 6"/>
    <w:qFormat/>
    <w:rsid w:val="006D3A5A"/>
    <w:rPr>
      <w:rFonts w:cs="Wingdings"/>
    </w:rPr>
  </w:style>
  <w:style w:type="character" w:customStyle="1" w:styleId="ListLabel7">
    <w:name w:val="ListLabel 7"/>
    <w:qFormat/>
    <w:rsid w:val="006D3A5A"/>
    <w:rPr>
      <w:rFonts w:cs="Symbol"/>
    </w:rPr>
  </w:style>
  <w:style w:type="character" w:customStyle="1" w:styleId="ListLabel8">
    <w:name w:val="ListLabel 8"/>
    <w:qFormat/>
    <w:rsid w:val="006D3A5A"/>
    <w:rPr>
      <w:rFonts w:cs="Courier New"/>
    </w:rPr>
  </w:style>
  <w:style w:type="character" w:customStyle="1" w:styleId="ListLabel9">
    <w:name w:val="ListLabel 9"/>
    <w:qFormat/>
    <w:rsid w:val="006D3A5A"/>
    <w:rPr>
      <w:rFonts w:cs="Wingdings"/>
    </w:rPr>
  </w:style>
  <w:style w:type="character" w:customStyle="1" w:styleId="ListLabel10">
    <w:name w:val="ListLabel 10"/>
    <w:qFormat/>
    <w:rsid w:val="006D3A5A"/>
    <w:rPr>
      <w:rFonts w:cs="Symbol"/>
    </w:rPr>
  </w:style>
  <w:style w:type="character" w:customStyle="1" w:styleId="ListLabel11">
    <w:name w:val="ListLabel 11"/>
    <w:qFormat/>
    <w:rsid w:val="006D3A5A"/>
    <w:rPr>
      <w:rFonts w:cs="Courier New"/>
    </w:rPr>
  </w:style>
  <w:style w:type="character" w:customStyle="1" w:styleId="ListLabel12">
    <w:name w:val="ListLabel 12"/>
    <w:qFormat/>
    <w:rsid w:val="006D3A5A"/>
    <w:rPr>
      <w:rFonts w:cs="Wingdings"/>
    </w:rPr>
  </w:style>
  <w:style w:type="character" w:customStyle="1" w:styleId="ListLabel13">
    <w:name w:val="ListLabel 13"/>
    <w:qFormat/>
    <w:rsid w:val="006D3A5A"/>
    <w:rPr>
      <w:rFonts w:cs="Symbol"/>
    </w:rPr>
  </w:style>
  <w:style w:type="character" w:customStyle="1" w:styleId="ListLabel14">
    <w:name w:val="ListLabel 14"/>
    <w:qFormat/>
    <w:rsid w:val="006D3A5A"/>
    <w:rPr>
      <w:rFonts w:cs="Courier New"/>
    </w:rPr>
  </w:style>
  <w:style w:type="character" w:customStyle="1" w:styleId="ListLabel15">
    <w:name w:val="ListLabel 15"/>
    <w:qFormat/>
    <w:rsid w:val="006D3A5A"/>
    <w:rPr>
      <w:rFonts w:cs="Wingdings"/>
    </w:rPr>
  </w:style>
  <w:style w:type="character" w:customStyle="1" w:styleId="ListLabel16">
    <w:name w:val="ListLabel 16"/>
    <w:qFormat/>
    <w:rsid w:val="006D3A5A"/>
    <w:rPr>
      <w:rFonts w:cs="Symbol"/>
    </w:rPr>
  </w:style>
  <w:style w:type="character" w:customStyle="1" w:styleId="ListLabel17">
    <w:name w:val="ListLabel 17"/>
    <w:qFormat/>
    <w:rsid w:val="006D3A5A"/>
    <w:rPr>
      <w:rFonts w:cs="Courier New"/>
    </w:rPr>
  </w:style>
  <w:style w:type="character" w:customStyle="1" w:styleId="ListLabel18">
    <w:name w:val="ListLabel 18"/>
    <w:qFormat/>
    <w:rsid w:val="006D3A5A"/>
    <w:rPr>
      <w:rFonts w:cs="Wingdings"/>
    </w:rPr>
  </w:style>
  <w:style w:type="character" w:customStyle="1" w:styleId="ListLabel19">
    <w:name w:val="ListLabel 19"/>
    <w:qFormat/>
    <w:rsid w:val="006D3A5A"/>
    <w:rPr>
      <w:sz w:val="24"/>
      <w:szCs w:val="24"/>
    </w:rPr>
  </w:style>
  <w:style w:type="character" w:customStyle="1" w:styleId="ListLabel20">
    <w:name w:val="ListLabel 20"/>
    <w:qFormat/>
    <w:rsid w:val="006D3A5A"/>
    <w:rPr>
      <w:b w:val="0"/>
      <w:bCs w:val="0"/>
    </w:rPr>
  </w:style>
  <w:style w:type="character" w:customStyle="1" w:styleId="ListLabel21">
    <w:name w:val="ListLabel 21"/>
    <w:qFormat/>
    <w:rsid w:val="006D3A5A"/>
    <w:rPr>
      <w:b/>
      <w:bCs w:val="0"/>
      <w:sz w:val="24"/>
    </w:rPr>
  </w:style>
  <w:style w:type="character" w:customStyle="1" w:styleId="ListLabel22">
    <w:name w:val="ListLabel 22"/>
    <w:qFormat/>
    <w:rsid w:val="006D3A5A"/>
    <w:rPr>
      <w:sz w:val="24"/>
      <w:szCs w:val="24"/>
    </w:rPr>
  </w:style>
  <w:style w:type="character" w:customStyle="1" w:styleId="ListLabel23">
    <w:name w:val="ListLabel 23"/>
    <w:qFormat/>
    <w:rsid w:val="006D3A5A"/>
    <w:rPr>
      <w:b/>
      <w:bCs w:val="0"/>
      <w:sz w:val="24"/>
    </w:rPr>
  </w:style>
  <w:style w:type="character" w:customStyle="1" w:styleId="ListLabel24">
    <w:name w:val="ListLabel 24"/>
    <w:qFormat/>
    <w:rsid w:val="006D3A5A"/>
    <w:rPr>
      <w:sz w:val="24"/>
      <w:szCs w:val="24"/>
    </w:rPr>
  </w:style>
  <w:style w:type="character" w:customStyle="1" w:styleId="ListLabel25">
    <w:name w:val="ListLabel 25"/>
    <w:qFormat/>
    <w:rsid w:val="006D3A5A"/>
    <w:rPr>
      <w:b/>
      <w:bCs w:val="0"/>
      <w:sz w:val="24"/>
    </w:rPr>
  </w:style>
  <w:style w:type="character" w:customStyle="1" w:styleId="ListLabel26">
    <w:name w:val="ListLabel 26"/>
    <w:qFormat/>
    <w:rsid w:val="006D3A5A"/>
    <w:rPr>
      <w:sz w:val="24"/>
      <w:szCs w:val="24"/>
    </w:rPr>
  </w:style>
  <w:style w:type="character" w:customStyle="1" w:styleId="ListLabel27">
    <w:name w:val="ListLabel 27"/>
    <w:qFormat/>
    <w:rsid w:val="006D3A5A"/>
    <w:rPr>
      <w:b/>
      <w:bCs w:val="0"/>
      <w:sz w:val="24"/>
    </w:rPr>
  </w:style>
  <w:style w:type="character" w:customStyle="1" w:styleId="ListLabel28">
    <w:name w:val="ListLabel 28"/>
    <w:qFormat/>
    <w:rsid w:val="006D3A5A"/>
    <w:rPr>
      <w:sz w:val="24"/>
      <w:szCs w:val="24"/>
    </w:rPr>
  </w:style>
  <w:style w:type="character" w:customStyle="1" w:styleId="ListLabel29">
    <w:name w:val="ListLabel 29"/>
    <w:qFormat/>
    <w:rsid w:val="006D3A5A"/>
    <w:rPr>
      <w:b/>
      <w:bCs w:val="0"/>
      <w:sz w:val="24"/>
    </w:rPr>
  </w:style>
  <w:style w:type="character" w:customStyle="1" w:styleId="ListLabel30">
    <w:name w:val="ListLabel 30"/>
    <w:qFormat/>
    <w:rsid w:val="006D3A5A"/>
    <w:rPr>
      <w:sz w:val="24"/>
      <w:szCs w:val="24"/>
    </w:rPr>
  </w:style>
  <w:style w:type="character" w:customStyle="1" w:styleId="ListLabel31">
    <w:name w:val="ListLabel 31"/>
    <w:qFormat/>
    <w:rsid w:val="006D3A5A"/>
    <w:rPr>
      <w:b/>
      <w:bCs w:val="0"/>
      <w:sz w:val="24"/>
    </w:rPr>
  </w:style>
  <w:style w:type="character" w:customStyle="1" w:styleId="ListLabel32">
    <w:name w:val="ListLabel 32"/>
    <w:qFormat/>
    <w:rsid w:val="006D3A5A"/>
    <w:rPr>
      <w:sz w:val="24"/>
      <w:szCs w:val="24"/>
    </w:rPr>
  </w:style>
  <w:style w:type="character" w:customStyle="1" w:styleId="ListLabel33">
    <w:name w:val="ListLabel 33"/>
    <w:qFormat/>
    <w:rsid w:val="006D3A5A"/>
    <w:rPr>
      <w:b/>
      <w:bCs w:val="0"/>
      <w:sz w:val="24"/>
    </w:rPr>
  </w:style>
  <w:style w:type="character" w:customStyle="1" w:styleId="ListLabel34">
    <w:name w:val="ListLabel 34"/>
    <w:qFormat/>
    <w:rsid w:val="006D3A5A"/>
    <w:rPr>
      <w:sz w:val="24"/>
      <w:szCs w:val="24"/>
    </w:rPr>
  </w:style>
  <w:style w:type="character" w:customStyle="1" w:styleId="ListLabel35">
    <w:name w:val="ListLabel 35"/>
    <w:qFormat/>
    <w:rsid w:val="006D3A5A"/>
    <w:rPr>
      <w:b/>
      <w:bCs w:val="0"/>
      <w:sz w:val="24"/>
    </w:rPr>
  </w:style>
  <w:style w:type="character" w:customStyle="1" w:styleId="ListLabel36">
    <w:name w:val="ListLabel 36"/>
    <w:qFormat/>
    <w:rsid w:val="006D3A5A"/>
    <w:rPr>
      <w:color w:val="FF0000"/>
      <w:sz w:val="24"/>
    </w:rPr>
  </w:style>
  <w:style w:type="paragraph" w:styleId="Nagwek">
    <w:name w:val="header"/>
    <w:basedOn w:val="Normalny"/>
    <w:next w:val="Tretekstu"/>
    <w:link w:val="NagwekZnak"/>
    <w:qFormat/>
    <w:rsid w:val="006D3A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rsid w:val="005F71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Lista">
    <w:name w:val="List"/>
    <w:basedOn w:val="Tretekstu"/>
    <w:rsid w:val="006D3A5A"/>
    <w:rPr>
      <w:rFonts w:cs="Arial"/>
    </w:rPr>
  </w:style>
  <w:style w:type="paragraph" w:styleId="Podpis">
    <w:name w:val="Signature"/>
    <w:basedOn w:val="Normalny"/>
    <w:rsid w:val="006D3A5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D3A5A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semiHidden/>
    <w:rsid w:val="00D50EC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6D3A5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7158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5F7158"/>
    <w:pPr>
      <w:spacing w:line="276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50EC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5E140C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1119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Projekt Wójta Gminy</dc:title>
  <dc:subject/>
  <dc:creator>kasza</dc:creator>
  <dc:description/>
  <cp:lastModifiedBy>xxx</cp:lastModifiedBy>
  <cp:revision>27</cp:revision>
  <cp:lastPrinted>2017-03-13T09:22:00Z</cp:lastPrinted>
  <dcterms:created xsi:type="dcterms:W3CDTF">2015-05-29T13:17:00Z</dcterms:created>
  <dcterms:modified xsi:type="dcterms:W3CDTF">2017-03-31T08:33:00Z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